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>Aussagesicherheit: 62,647 %</w:t>
            </w:r>
          </w:p>
          <w:p>
            <w:pPr>
              <w:spacing w:before="0" w:after="0" w:line="240" w:lineRule="auto"/>
            </w:pPr>
            <w:r>
              <w:t>Risikomenge: 3.14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 / Wand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>Aussagesicherheit: 63,76 %</w:t>
            </w:r>
          </w:p>
          <w:p>
            <w:pPr>
              <w:spacing w:before="0" w:after="0" w:line="240" w:lineRule="auto"/>
            </w:pPr>
            <w:r>
              <w:t>Risikomenge: 1.52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64,462 %</w:t>
            </w:r>
          </w:p>
          <w:p>
            <w:pPr>
              <w:spacing w:before="0" w:after="0" w:line="240" w:lineRule="auto"/>
            </w:pPr>
            <w:r>
              <w:t>Risikomenge: 1.07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63,31 %</w:t>
            </w:r>
          </w:p>
          <w:p>
            <w:pPr>
              <w:spacing w:before="0" w:after="0" w:line="240" w:lineRule="auto"/>
            </w:pPr>
            <w:r>
              <w:t>Risikomenge: 1.98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85,14 %</w:t>
            </w:r>
          </w:p>
          <w:p>
            <w:pPr>
              <w:spacing w:before="0" w:after="0" w:line="240" w:lineRule="auto"/>
            </w:pPr>
            <w:r>
              <w:t>Risikomenge: 0.59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Oberdorfstrasse 10, 9102 Herisau</w:t>
          </w:r>
        </w:p>
        <w:p>
          <w:pPr>
            <w:spacing w:before="0" w:after="0"/>
          </w:pPr>
          <w:r>
            <w:t>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