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21,147 %</w:t>
            </w:r>
          </w:p>
          <w:p>
            <w:pPr>
              <w:spacing w:before="0" w:after="0" w:line="240" w:lineRule="auto"/>
            </w:pPr>
            <w:r>
              <w:t>Risikomenge: 3.94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>Aussagesicherheit: 83,618 %</w:t>
            </w:r>
          </w:p>
          <w:p>
            <w:pPr>
              <w:spacing w:before="0" w:after="0" w:line="240" w:lineRule="auto"/>
            </w:pPr>
            <w:r>
              <w:t>Risikomenge: 1.31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Schöneggstrasse 24, 8212 Neuhausen am Rheinfall</w:t>
          </w:r>
        </w:p>
        <w:p>
          <w:pPr>
            <w:spacing w:before="0" w:after="0"/>
          </w:pPr>
          <w:r>
            <w:t>813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