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Glasstein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>Aussagesicherheit: 81,924 %</w:t>
            </w:r>
          </w:p>
          <w:p>
            <w:pPr>
              <w:spacing w:before="0" w:after="0" w:line="240" w:lineRule="auto"/>
            </w:pPr>
            <w:r>
              <w:t>Risikomenge: 5.06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45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60 m²</w:t>
            </w:r>
          </w:p>
          <w:p>
            <w:pPr>
              <w:spacing w:before="0" w:after="0" w:line="240" w:lineRule="auto"/>
            </w:pPr>
            <w:r>
              <w:t>Aussagesicherheit: 61,272 %</w:t>
            </w:r>
          </w:p>
          <w:p>
            <w:pPr>
              <w:spacing w:before="0" w:after="0" w:line="240" w:lineRule="auto"/>
            </w:pPr>
            <w:r>
              <w:t>Risikomenge: 13.94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43 m²</w:t>
            </w:r>
          </w:p>
          <w:p>
            <w:pPr>
              <w:spacing w:before="0" w:after="0" w:line="240" w:lineRule="auto"/>
            </w:pPr>
            <w:r>
              <w:t>Aussagesicherheit: 81,735 %</w:t>
            </w:r>
          </w:p>
          <w:p>
            <w:pPr>
              <w:spacing w:before="0" w:after="0" w:line="240" w:lineRule="auto"/>
            </w:pPr>
            <w:r>
              <w:t>Risikomenge: 6.28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82,279 %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>FZ 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KMF: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>Aussagesicherheit: 81,924 %</w:t>
            </w:r>
          </w:p>
          <w:p>
            <w:pPr>
              <w:spacing w:before="0" w:after="0" w:line="240" w:lineRule="auto"/>
            </w:pPr>
            <w:r>
              <w:t>Risikomenge: 5.06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Blumenkiste</w:t>
            </w:r>
          </w:p>
          <w:p>
            <w:pPr>
              <w:spacing w:before="0" w:after="0" w:line="240" w:lineRule="auto"/>
            </w:pPr>
            <w:r>
              <w:t>Trog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800</w:t>
          </w:r>
        </w:p>
        <w:p>
          <w:pPr>
            <w:spacing w:before="0" w:after="0"/>
          </w:pPr>
          <w:r>
            <w:t>DN 800 Runatsch 148a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