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>Aussagesicherheit: 62,862 %</w:t>
            </w:r>
          </w:p>
          <w:p>
            <w:pPr>
              <w:spacing w:before="0" w:after="0" w:line="240" w:lineRule="auto"/>
            </w:pPr>
            <w:r>
              <w:t>Risikomenge: 2.67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84,05 %</w:t>
            </w:r>
          </w:p>
          <w:p>
            <w:pPr>
              <w:spacing w:before="0" w:after="0" w:line="240" w:lineRule="auto"/>
            </w:pPr>
            <w:r>
              <w:t>Risikomenge: 1.02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64,067 %</w:t>
            </w:r>
          </w:p>
          <w:p>
            <w:pPr>
              <w:spacing w:before="0" w:after="0" w:line="240" w:lineRule="auto"/>
            </w:pPr>
            <w:r>
              <w:t>Risikomenge: 1.29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 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Mühletobelstrasse 4, 8135 Langnau am Albis</w:t>
          </w:r>
        </w:p>
        <w:p>
          <w:pPr>
            <w:spacing w:before="0" w:after="0"/>
          </w:pPr>
          <w:r>
            <w:t>148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