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>Aussagesicherheit: 82,689 %</w:t>
            </w:r>
          </w:p>
          <w:p>
            <w:pPr>
              <w:spacing w:before="0" w:after="0" w:line="240" w:lineRule="auto"/>
            </w:pPr>
            <w:r>
              <w:t>Risikomenge: 2.49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18, 4104 Oberwil</w:t>
          </w:r>
        </w:p>
        <w:p>
          <w:pPr>
            <w:spacing w:before="0" w:after="0"/>
          </w:pPr>
          <w:r>
            <w:t>718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