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18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Bodenbeläge</w:t>
            </w:r>
          </w:p>
          <w:p>
            <w:pPr>
              <w:spacing w:before="0" w:after="0" w:line="240" w:lineRule="auto"/>
            </w:pPr>
            <w:r>
              <w:t>2.Lage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Es wurde bei der Begehung keine 2.Lage festgestellt, sollte bei Bauarbeiten eine solche zum Vorschein kommen ist eine Schadstoffabklärung abschliessend vorzunehmen.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neue Baustoffe</w:t>
            </w:r>
          </w:p>
          <w:p>
            <w:pPr>
              <w:spacing w:before="0" w:after="0" w:line="240" w:lineRule="auto"/>
            </w:pPr>
            <w:r>
              <w:t>gesamter Bereich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Treppe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Rohrummantelung</w:t>
            </w:r>
          </w:p>
          <w:p>
            <w:pPr>
              <w:spacing w:before="0" w:after="0" w:line="240" w:lineRule="auto"/>
            </w:pPr>
            <w:r>
              <w:t>Warmwasserleitung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Fugendichtstoff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Schnüre / LAP / AZ</w:t>
            </w:r>
          </w:p>
          <w:p>
            <w:pPr>
              <w:spacing w:before="0" w:after="0" w:line="240" w:lineRule="auto"/>
            </w:pPr>
            <w:r>
              <w:t>Steigzone und Rauchabzug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Schadstoffabklärung kann erst in Umbauphase abschliessend untersucht werden.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Obermattweg 20 Obermattweg 20, 5033 Buchs</w:t>
          </w:r>
        </w:p>
        <w:p>
          <w:pPr>
            <w:spacing w:before="0" w:after="0"/>
          </w:pPr>
          <w:r>
            <w:t>650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