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33 m²</w:t>
            </w:r>
          </w:p>
          <w:p>
            <w:pPr>
              <w:spacing w:before="0" w:after="0" w:line="240" w:lineRule="auto"/>
            </w:pPr>
            <w:r>
              <w:t>Aussagesicherheit: 20,997 %</w:t>
            </w:r>
          </w:p>
          <w:p>
            <w:pPr>
              <w:spacing w:before="0" w:after="0" w:line="240" w:lineRule="auto"/>
            </w:pPr>
            <w:r>
              <w:t>Risikomenge: 5.21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21,147 %</w:t>
            </w:r>
          </w:p>
          <w:p>
            <w:pPr>
              <w:spacing w:before="0" w:after="0" w:line="240" w:lineRule="auto"/>
            </w:pPr>
            <w:r>
              <w:t>Risikomenge: 3.94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EGH. Hubschberg 2, 8714 Hombrechtikon</w:t>
          </w:r>
        </w:p>
        <w:p>
          <w:pPr>
            <w:spacing w:before="0" w:after="0"/>
          </w:pPr>
          <w:r>
            <w:t>644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