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62,211 %</w:t>
            </w:r>
          </w:p>
          <w:p>
            <w:pPr>
              <w:spacing w:before="0" w:after="0" w:line="240" w:lineRule="auto"/>
            </w:pPr>
            <w:r>
              <w:t>Risikomenge: 4.53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>Wasserrohr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>Aussagesicherheit: 62,332 %</w:t>
            </w:r>
          </w:p>
          <w:p>
            <w:pPr>
              <w:spacing w:before="0" w:after="0" w:line="240" w:lineRule="auto"/>
            </w:pPr>
            <w:r>
              <w:t>Risikomenge: 4.07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82,948 %</w:t>
            </w:r>
          </w:p>
          <w:p>
            <w:pPr>
              <w:spacing w:before="0" w:after="0" w:line="240" w:lineRule="auto"/>
            </w:pPr>
            <w:r>
              <w:t>Risikomenge: 2.05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Rossweg 10/20, 5332 Rekingen</w:t>
          </w:r>
        </w:p>
        <w:p>
          <w:pPr>
            <w:spacing w:before="0" w:after="0"/>
          </w:pPr>
          <w:r>
            <w:t>621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