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18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Sockel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Bodenbeläge</w:t>
            </w:r>
          </w:p>
          <w:p>
            <w:pPr>
              <w:spacing w:before="0" w:after="0" w:line="240" w:lineRule="auto"/>
            </w:pPr>
            <w:r>
              <w:t>2.Lage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Es wurde bei der Begehung keine 2.Lage festgestellt, sollte bei Bauarbeiten eine solche zum Vorschein kommen ist eine Schadstoffabklärung abschliessend vorzunehmen.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Obermattweg 20 Obermattweg 20, 5033 Buchs</w:t>
          </w:r>
        </w:p>
        <w:p>
          <w:pPr>
            <w:spacing w:before="0" w:after="0"/>
          </w:pPr>
          <w:r>
            <w:t>650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