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Verputzt 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Elektrospeicherofen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  <w:p>
            <w:pPr>
              <w:spacing w:before="0" w:after="0" w:line="240" w:lineRule="auto"/>
            </w:pPr>
            <w:r>
              <w:t>Herd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weitere Asbestbefunde im innern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Antidröhnbeschichtung</w:t>
            </w:r>
          </w:p>
          <w:p>
            <w:pPr>
              <w:spacing w:before="0" w:after="0" w:line="240" w:lineRule="auto"/>
            </w:pPr>
            <w:r>
              <w:t>Spühlbecken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LAP/AZ/Schnüre im innern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Fenster- und Anschlagkitt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  <w:p>
            <w:pPr>
              <w:spacing w:before="0" w:after="0" w:line="240" w:lineRule="auto"/>
            </w:pPr>
            <w:r>
              <w:t>sämtliche Holzbauteile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Holzschutzmittel: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