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276 m²</w:t>
            </w:r>
          </w:p>
          <w:p>
            <w:pPr>
              <w:spacing w:before="0" w:after="0" w:line="240" w:lineRule="auto"/>
            </w:pPr>
            <w:r>
              <w:t>Aussagesicherheit: 99,999 %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Gipsbinde</w:t>
            </w:r>
          </w:p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27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63,138 %</w:t>
            </w:r>
          </w:p>
          <w:p>
            <w:pPr>
              <w:spacing w:before="0" w:after="0" w:line="240" w:lineRule="auto"/>
            </w:pPr>
            <w:r>
              <w:t>Risikomenge: 2.21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38 m²</w:t>
            </w:r>
          </w:p>
          <w:p>
            <w:pPr>
              <w:spacing w:before="0" w:after="0" w:line="240" w:lineRule="auto"/>
            </w:pPr>
            <w:r>
              <w:t>Aussagesicherheit: 99,891 %</w:t>
            </w:r>
          </w:p>
          <w:p>
            <w:pPr>
              <w:spacing w:before="0" w:after="0" w:line="240" w:lineRule="auto"/>
            </w:pPr>
            <w:r>
              <w:t>Risikomenge: 0.03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Parkett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21,285 %</w:t>
            </w:r>
          </w:p>
          <w:p>
            <w:pPr>
              <w:spacing w:before="0" w:after="0" w:line="240" w:lineRule="auto"/>
            </w:pPr>
            <w:r>
              <w:t>Risikomenge: 3.15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61,802 %</w:t>
            </w:r>
          </w:p>
          <w:p>
            <w:pPr>
              <w:spacing w:before="0" w:after="0" w:line="240" w:lineRule="auto"/>
            </w:pPr>
            <w:r>
              <w:t>Risikomenge: 6.88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Sicherungskasten</w:t>
            </w:r>
          </w:p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/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