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80 m²</w:t>
            </w:r>
          </w:p>
          <w:p>
            <w:pPr>
              <w:spacing w:before="0" w:after="0" w:line="240" w:lineRule="auto"/>
            </w:pPr>
            <w:r>
              <w:t>Aussagesicherheit: 81,27 %</w:t>
            </w:r>
          </w:p>
          <w:p>
            <w:pPr>
              <w:spacing w:before="0" w:after="0" w:line="240" w:lineRule="auto"/>
            </w:pPr>
            <w:r>
              <w:t>Risikomenge: 11.99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/ Plattenkleber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Hirschwiese 8, 8730 Uznach</w:t>
          </w:r>
        </w:p>
        <w:p>
          <w:pPr>
            <w:spacing w:before="0" w:after="0"/>
          </w:pPr>
          <w:r>
            <w:t>619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