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81,27 %</w:t>
            </w:r>
          </w:p>
          <w:p>
            <w:pPr>
              <w:spacing w:before="0" w:after="0" w:line="240" w:lineRule="auto"/>
            </w:pPr>
            <w:r>
              <w:t>Risikomenge: 11.99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20,637 %</w:t>
            </w:r>
          </w:p>
          <w:p>
            <w:pPr>
              <w:spacing w:before="0" w:after="0" w:line="240" w:lineRule="auto"/>
            </w:pPr>
            <w:r>
              <w:t>Risikomenge: 12.70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KMF</w:t>
            </w:r>
          </w:p>
          <w:p>
            <w:pPr>
              <w:spacing w:before="0" w:after="0" w:line="240" w:lineRule="auto"/>
            </w:pPr>
            <w:r>
              <w:t>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KMF: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Platten lose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97,841 %</w:t>
            </w:r>
          </w:p>
          <w:p>
            <w:pPr>
              <w:spacing w:before="0" w:after="0" w:line="240" w:lineRule="auto"/>
            </w:pPr>
            <w:r>
              <w:t>Risikomenge: 0.45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Teppich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21,666 %</w:t>
            </w:r>
          </w:p>
          <w:p>
            <w:pPr>
              <w:spacing w:before="0" w:after="0" w:line="240" w:lineRule="auto"/>
            </w:pPr>
            <w:r>
              <w:t>Risikomenge: 1.88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96,687 %</w:t>
            </w:r>
          </w:p>
          <w:p>
            <w:pPr>
              <w:spacing w:before="0" w:after="0" w:line="240" w:lineRule="auto"/>
            </w:pPr>
            <w:r>
              <w:t>Risikomenge: 1.06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Brandschutzklappen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Elektroofen</w:t>
            </w:r>
          </w:p>
          <w:p>
            <w:pPr>
              <w:spacing w:before="0" w:after="0" w:line="240" w:lineRule="auto"/>
            </w:pPr>
            <w:r>
              <w:t>Asbesthaltig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6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