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64,462 %</w:t>
            </w:r>
          </w:p>
          <w:p>
            <w:pPr>
              <w:spacing w:before="0" w:after="0" w:line="240" w:lineRule="auto"/>
            </w:pPr>
            <w:r>
              <w:t>Risikomenge: 1.07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83,299 %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14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145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116.00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4.00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13 m²</w:t>
            </w:r>
          </w:p>
          <w:p>
            <w:pPr>
              <w:spacing w:before="0" w:after="0" w:line="240" w:lineRule="auto"/>
            </w:pPr>
            <w:r>
              <w:t>Aussagesicherheit: 62,748 %</w:t>
            </w:r>
          </w:p>
          <w:p>
            <w:pPr>
              <w:spacing w:before="0" w:after="0" w:line="240" w:lineRule="auto"/>
            </w:pPr>
            <w:r>
              <w:t>Risikomenge: 2.91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Büelstrasse 4, 9430 St. Margrethen</w:t>
          </w:r>
        </w:p>
        <w:p>
          <w:pPr>
            <w:spacing w:before="0" w:after="0"/>
          </w:pPr>
          <w:r>
            <w:t>601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