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Heizleitung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MaP-26</w:t>
            </w:r>
          </w:p>
          <w:p>
            <w:pPr>
              <w:spacing w:before="0" w:after="0" w:line="240" w:lineRule="auto"/>
            </w:pPr>
            <w:r>
              <w:t>MaP-30</w:t>
            </w:r>
          </w:p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58 m²</w:t>
            </w:r>
          </w:p>
          <w:p>
            <w:pPr>
              <w:spacing w:before="0" w:after="0" w:line="240" w:lineRule="auto"/>
            </w:pPr>
            <w:r>
              <w:t>Aussagesicherheit: 100 %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42 m²</w:t>
            </w:r>
          </w:p>
          <w:p>
            <w:pPr>
              <w:spacing w:before="0" w:after="0" w:line="240" w:lineRule="auto"/>
            </w:pPr>
            <w:r>
              <w:t>Aussagesicherheit: 99,98 %</w:t>
            </w:r>
          </w:p>
          <w:p>
            <w:pPr>
              <w:spacing w:before="0" w:after="0" w:line="240" w:lineRule="auto"/>
            </w:pPr>
            <w:r>
              <w:t>Risikomenge: 0.01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85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Fenstetkitt</w:t>
            </w:r>
          </w:p>
          <w:p>
            <w:pPr>
              <w:spacing w:before="0" w:after="0" w:line="240" w:lineRule="auto"/>
            </w:pPr>
            <w:r>
              <w:t>Schaufenstet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Bodenbelag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>Aussagesicherheit: 21,224 %</w:t>
            </w:r>
          </w:p>
          <w:p>
            <w:pPr>
              <w:spacing w:before="0" w:after="0" w:line="240" w:lineRule="auto"/>
            </w:pPr>
            <w:r>
              <w:t>Risikomenge: 3.47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Metallgehäusr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Novilon inkl. Kleber</w:t>
            </w:r>
          </w:p>
          <w:p>
            <w:pPr>
              <w:spacing w:before="0" w:after="0" w:line="240" w:lineRule="auto"/>
            </w:pPr>
            <w:r>
              <w:t>Floorflex bituminös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33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Welleternit</w:t>
            </w:r>
          </w:p>
          <w:p>
            <w:pPr>
              <w:spacing w:before="0" w:after="0" w:line="240" w:lineRule="auto"/>
            </w:pPr>
            <w:r>
              <w:t>Vordach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110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Deckenplatten Sagex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Fliesen neu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Brandschutztüren, -tore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