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82,55 %</w:t>
            </w:r>
          </w:p>
          <w:p>
            <w:pPr>
              <w:spacing w:before="0" w:after="0" w:line="240" w:lineRule="auto"/>
            </w:pPr>
            <w:r>
              <w:t>Risikomenge: 2.79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>Aussagesicherheit: 62,556 %</w:t>
            </w:r>
          </w:p>
          <w:p>
            <w:pPr>
              <w:spacing w:before="0" w:after="0" w:line="240" w:lineRule="auto"/>
            </w:pPr>
            <w:r>
              <w:t>Risikomenge: 3.37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Bodenschüttung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63,514 %</w:t>
            </w:r>
          </w:p>
          <w:p>
            <w:pPr>
              <w:spacing w:before="0" w:after="0" w:line="240" w:lineRule="auto"/>
            </w:pPr>
            <w:r>
              <w:t>Risikomenge: 1.75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