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tblStyle w:val="TableGrid"/>
        <w:tblW w:w="13958" w:type="dxa"/>
        <w:jc w:val="center"/>
        <w:tblLook w:val="04A0"/>
      </w:tblPr>
      <w:tblGrid>
        <w:gridCol w:w="2326"/>
        <w:gridCol w:w="2326"/>
        <w:gridCol w:w="2326"/>
        <w:gridCol w:w="2326"/>
        <w:gridCol w:w="2326"/>
        <w:gridCol w:w="2326"/>
      </w:tblGrid>
      <w:tr>
        <w:trPr>
          <w:tblHeader w:val="true"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Enthaltene Einzelproben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Zugehörige Verdachtsmomente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Herkunft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Ergebnis Analytik</w:t>
            </w:r>
          </w:p>
        </w:tc>
      </w:tr>
    </w:tbl>
    <w:sectPr>
      <w:headerReference w:type="default" r:id="rId3"/>
      <w:footerReference w:type="default" r:id="rId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EFH. Hirzelweg 6, 5610 Wohlen</w:t>
          </w:r>
        </w:p>
        <w:p>
          <w:pPr>
            <w:spacing w:before="0" w:after="0"/>
          </w:pPr>
          <w:r>
            <w:t>558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Mischproben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footer.xml" Type="http://schemas.openxmlformats.org/officeDocument/2006/relationships/footer" Id="rId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